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Pożyczki dla rolników – proces i bezpieczeństwo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Pożyczki dla rolników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rozwiązania finansowe przeznaczone dla osób prowadzących gospodarstwa rolne lub działalność związaną z rolnictwem. W takich ofertach przed podpisaniem umowy udostępniane są informacje dotyczące kwoty finansowania, kosztów oraz terminu spłaty. Zakres formalności, wymagane dane oraz sposób oceny wniosku wynikają z procedur obowiązujących u pożyczkodawcy.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1415" cy="2916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1415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Jeśli decyzja wydana przez pożyczkodawcę jest pozytywna, środki trafiają na konto zwykle tego samego dnia. Procedura ogranicza formalności do minimum, zapewniając pełną kontrolę nad pożyczką. </w:t>
      </w:r>
      <w:r w:rsidDel="00000000" w:rsidR="00000000" w:rsidRPr="00000000">
        <w:rPr>
          <w:color w:val="1f4e79"/>
          <w:sz w:val="24"/>
          <w:szCs w:val="24"/>
          <w:u w:val="none"/>
          <w:rtl w:val="0"/>
        </w:rPr>
        <w:t xml:space="preserve">Pożyczki dla</w:t>
      </w:r>
      <w:r w:rsidDel="00000000" w:rsidR="00000000" w:rsidRPr="00000000">
        <w:rPr>
          <w:color w:val="1f4e79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color w:val="1f4e79"/>
          <w:sz w:val="24"/>
          <w:szCs w:val="24"/>
          <w:u w:val="none"/>
          <w:rtl w:val="0"/>
        </w:rPr>
        <w:t xml:space="preserve">rolników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 pozwalają korzystać z finansowania w sposób wygodny, bezpieczny i przejrzysty, dostosowany do potrzeb osób prowadzących działalność rolniczą.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5060" cy="29160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5060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26023E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26023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A02FC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917624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917624"/>
  </w:style>
  <w:style w:type="paragraph" w:styleId="Stopka">
    <w:name w:val="footer"/>
    <w:basedOn w:val="Normalny"/>
    <w:link w:val="StopkaZnak"/>
    <w:uiPriority w:val="99"/>
    <w:unhideWhenUsed w:val="1"/>
    <w:rsid w:val="00917624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91762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chwilowka-dla-kazdego/pozyczki-dla-rolnikow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zoOMBO4X9uwsaiU0wmVTHeQknQ==">CgMxLjA4AHIhMXpoWGRnN0JObVYxRHVHNFlMT0tyN24zUkVmMUk0TzY2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2026-03-08T14:50:00Z</dcterms:created>
  <dc:creator>Обліковий запис Microsoft</dc:creator>
</cp:coreProperties>
</file>