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Pożyczki od 18 lat – podstawy i proces</w:t>
      </w:r>
    </w:p>
    <w:p w:rsidR="00000000" w:rsidDel="00000000" w:rsidP="00000000" w:rsidRDefault="00000000" w:rsidRPr="00000000" w14:paraId="00000002">
      <w:pPr>
        <w:spacing w:after="280" w:before="280" w:line="276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Pożyczki od 18 lat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charakteryzują się prostymi zasadami oraz przejrzystymi warunkami. Cały proces odbywa się w pełni online, co umożliwia szybkie wypełnienie wniosku i weryfikację danych bez konieczności osobistej wizyty. Systemy pożyczkowe dbają o bezpieczeństwo informacji, stosując nowoczesne protokoły szyfrowania i ochronę danych osobowych.</w:t>
        <w:br w:type="textWrapping"/>
        <w:br w:type="textWrapping"/>
        <w:t xml:space="preserve">Procedura obejmuje trzy podstawowe kroki: wybór kwoty pożyczki, potwierdzenie danych tożsamości i otrzymanie decyzji od pożyczkodawcy. Jeśli otrzymana decyzja jest pozytywna, środki trafiają na konto zwykle tego samego dnia. Dzięki temu proces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pożyczki od 18 lat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jest przejrzysty i w pełni kontrolowany przez użytkownika.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600075</wp:posOffset>
            </wp:positionH>
            <wp:positionV relativeFrom="paragraph">
              <wp:posOffset>971550</wp:posOffset>
            </wp:positionV>
            <wp:extent cx="5013370" cy="2805100"/>
            <wp:effectExtent b="0" l="0" r="0" t="0"/>
            <wp:wrapTopAndBottom distB="0" dist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3370" cy="2805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5193481" cy="2906799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3481" cy="2906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4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786312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78631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4005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 w:val="1"/>
    <w:unhideWhenUsed w:val="1"/>
    <w:rsid w:val="0040051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F92E50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2E50"/>
  </w:style>
  <w:style w:type="paragraph" w:styleId="Stopka">
    <w:name w:val="footer"/>
    <w:basedOn w:val="Normalny"/>
    <w:link w:val="StopkaZnak"/>
    <w:uiPriority w:val="99"/>
    <w:unhideWhenUsed w:val="1"/>
    <w:rsid w:val="00F92E50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2E5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od-18-lat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7b40mbOjfBj/njqTDKrMEg4Ng==">CgMxLjA4AHIhMUxXR2pubVNPazBuUko1d0ZWa0szYjFKVEc1dVFGV2o1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2026-03-08T14:46:00Z</dcterms:created>
  <dc:creator>Обліковий запис Microsoft</dc:creator>
</cp:coreProperties>
</file>